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The Ruptured Commons</w:t>
      </w:r>
    </w:p>
    <w:p w14:paraId="00000002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July, 11-15, 2022</w:t>
      </w:r>
    </w:p>
    <w:p w14:paraId="00000003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Toronto, Ontario, Canada</w:t>
      </w:r>
    </w:p>
    <w:p w14:paraId="00000004" w14:textId="77777777" w:rsidR="00D13C0E" w:rsidRDefault="00D1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At a time when we are experiencing profound and unexpected disruptions to our shared spaces, routines, economies, societies, and work-lives, ACLALS 2022 proposes that we convene in Toronto (fingers crossed!) to consider the nature and implications of ruptu</w:t>
      </w:r>
      <w:r>
        <w:rPr>
          <w:color w:val="000000"/>
        </w:rPr>
        <w:t xml:space="preserve">re, the commons, and their conjoining: </w:t>
      </w:r>
      <w:r>
        <w:rPr>
          <w:i/>
          <w:color w:val="000000"/>
        </w:rPr>
        <w:t>the ruptured commons</w:t>
      </w:r>
      <w:r>
        <w:rPr>
          <w:color w:val="000000"/>
        </w:rPr>
        <w:t>. And while disease and risk are top of mind these days, imperialism and colonialism were always, of course, forms of severe rupture – to lifeways, cultures, and forms of inhabitation, community, a</w:t>
      </w:r>
      <w:r>
        <w:rPr>
          <w:color w:val="000000"/>
        </w:rPr>
        <w:t>nd governance. Capitalism is inherently disruptive, and disruptive technologies</w:t>
      </w:r>
      <w:r>
        <w:t xml:space="preserve"> (</w:t>
      </w:r>
      <w:r>
        <w:rPr>
          <w:color w:val="000000"/>
        </w:rPr>
        <w:t>from the printing press to social media, the steam engine to the drone</w:t>
      </w:r>
      <w:r>
        <w:t>)</w:t>
      </w:r>
      <w:r>
        <w:rPr>
          <w:color w:val="000000"/>
        </w:rPr>
        <w:t xml:space="preserve"> transform lives and present their own opportunities and threats. Rupture is increasingly becoming a mod</w:t>
      </w:r>
      <w:r>
        <w:rPr>
          <w:color w:val="000000"/>
        </w:rPr>
        <w:t>us operandi among political actors, whether they seek to exploit and accentuate divisions</w:t>
      </w:r>
      <w:r>
        <w:t>,</w:t>
      </w:r>
      <w:r>
        <w:rPr>
          <w:color w:val="000000"/>
        </w:rPr>
        <w:t xml:space="preserve"> or, in </w:t>
      </w:r>
      <w:r>
        <w:t>the case of anti-colonial movements and Black Lives Matter protests,</w:t>
      </w:r>
      <w:r>
        <w:rPr>
          <w:color w:val="000000"/>
        </w:rPr>
        <w:t xml:space="preserve"> to contest hierarchies, privileges, and prejudices embedded in social attitudes and insti</w:t>
      </w:r>
      <w:r>
        <w:rPr>
          <w:color w:val="000000"/>
        </w:rPr>
        <w:t xml:space="preserve">tutional practice. The increasingly frequent eruptions of such moments raise important questions about social consensus around common realities and common truths. </w:t>
      </w:r>
    </w:p>
    <w:p w14:paraId="00000006" w14:textId="77777777" w:rsidR="00D13C0E" w:rsidRDefault="00D1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>Garnett Hardin wrote in 1968 about “the tragedy of the commons” – the tendency for publicly</w:t>
      </w:r>
      <w:r>
        <w:rPr>
          <w:color w:val="000000"/>
        </w:rPr>
        <w:t xml:space="preserve"> owned, shared space to degrade through the neglect, abuse, overuse, and simple taking-for-granted of its multiple owners, who, because there are so many, do not identify as owners and take little responsibility. With each new climate-change study we becom</w:t>
      </w:r>
      <w:r>
        <w:rPr>
          <w:color w:val="000000"/>
        </w:rPr>
        <w:t>e more aware of the ways our common environment has seen its natural states and processes violated by human activity</w:t>
      </w:r>
      <w:r>
        <w:t>. The</w:t>
      </w:r>
      <w:r>
        <w:rPr>
          <w:color w:val="000000"/>
        </w:rPr>
        <w:t xml:space="preserve"> ruptured commons is at the heart of the concept of the Anthropocene and what Amitav Ghosh has called “the great derangement” of our un</w:t>
      </w:r>
      <w:r>
        <w:rPr>
          <w:color w:val="000000"/>
        </w:rPr>
        <w:t>sustainable ways. The global pandemic, with its multiple and far-reaching disruptions, has forced us to rethink our common spaces and how we use them, from city streets to airplanes, domestic spaces to workplaces – including academic ones. Indeed, our work</w:t>
      </w:r>
      <w:r>
        <w:rPr>
          <w:color w:val="000000"/>
        </w:rPr>
        <w:t xml:space="preserve"> as scholars, teachers, and students has been ruptured in countless ways as our institutional commons of classrooms and conferences fragment into rectangle-bound faces and voices on screens. Finally, the “common” in Commonwealth has come under fire for dec</w:t>
      </w:r>
      <w:r>
        <w:rPr>
          <w:color w:val="000000"/>
        </w:rPr>
        <w:t>ades, whether by rewriting it as “common poverty” or by rejecting its presence in the names of our discipline and, for some, in ACLALS itself.</w:t>
      </w:r>
    </w:p>
    <w:p w14:paraId="00000008" w14:textId="77777777" w:rsidR="00D13C0E" w:rsidRDefault="00D1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09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At a time when so much of our shared future is uncertain and when we have the opportunity to reimagine the comm</w:t>
      </w:r>
      <w:r>
        <w:rPr>
          <w:color w:val="000000"/>
        </w:rPr>
        <w:t>ons, we invite delegates to place notions of rupture and commons in a wide variety of pan-historical contexts and scales from the local to the global. Approaches and topics could include but are not limited to:</w:t>
      </w:r>
    </w:p>
    <w:p w14:paraId="0000000A" w14:textId="77777777" w:rsidR="00D13C0E" w:rsidRDefault="00D1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B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Borders and boundaries: disrupted, shored up</w:t>
      </w:r>
      <w:r>
        <w:rPr>
          <w:color w:val="000000"/>
        </w:rPr>
        <w:t xml:space="preserve">; transgressed, (re-)imposed </w:t>
      </w:r>
    </w:p>
    <w:p w14:paraId="0000000C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Disruptive histories and aftermaths of imperialism and colonialism, including trans-</w:t>
      </w:r>
      <w:r>
        <w:t>A</w:t>
      </w:r>
      <w:r>
        <w:rPr>
          <w:color w:val="000000"/>
        </w:rPr>
        <w:t>tlantic slavery and the legacies of anti-Black racism</w:t>
      </w:r>
    </w:p>
    <w:p w14:paraId="0000000D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Ecological and ecocritical approaches to the literary representation of the commons and</w:t>
      </w:r>
      <w:r>
        <w:rPr>
          <w:color w:val="000000"/>
        </w:rPr>
        <w:t xml:space="preserve"> of its inhabitants, non-human and human</w:t>
      </w:r>
    </w:p>
    <w:p w14:paraId="0000000E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Environmental humanities</w:t>
      </w:r>
    </w:p>
    <w:p w14:paraId="0000000F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Finding commonalities, understanding differences</w:t>
      </w:r>
    </w:p>
    <w:p w14:paraId="00000010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H</w:t>
      </w:r>
      <w:r>
        <w:rPr>
          <w:color w:val="000000"/>
        </w:rPr>
        <w:t>ealing ruptures</w:t>
      </w:r>
      <w:r>
        <w:t xml:space="preserve"> and reconciliation</w:t>
      </w:r>
    </w:p>
    <w:p w14:paraId="00000011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Inclusive vs. exclusive models of the commons: access, control, ownership</w:t>
      </w:r>
    </w:p>
    <w:p w14:paraId="00000012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Indigenous knowledges and perspectives: on ruptured places and times; on the commons </w:t>
      </w:r>
    </w:p>
    <w:p w14:paraId="00000013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Interrogating “Commonwealth”</w:t>
      </w:r>
    </w:p>
    <w:p w14:paraId="00000014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Literature and contagion, health, medicine, and/or dis-ease</w:t>
      </w:r>
    </w:p>
    <w:p w14:paraId="00000015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Literat</w:t>
      </w:r>
      <w:r>
        <w:rPr>
          <w:color w:val="000000"/>
        </w:rPr>
        <w:t xml:space="preserve">ure and disaster: natural or otherwise </w:t>
      </w:r>
    </w:p>
    <w:p w14:paraId="00000016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Literature of protest and activism: disrupting the present to transform the future</w:t>
      </w:r>
    </w:p>
    <w:p w14:paraId="00000017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Medical Humanities</w:t>
      </w:r>
    </w:p>
    <w:p w14:paraId="00000018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M</w:t>
      </w:r>
      <w:r>
        <w:rPr>
          <w:color w:val="000000"/>
        </w:rPr>
        <w:t>ending and reclaiming the commons</w:t>
      </w:r>
    </w:p>
    <w:p w14:paraId="00000019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New perspectives on risk and the risk society </w:t>
      </w:r>
    </w:p>
    <w:p w14:paraId="0000001A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Representation and inhabitation </w:t>
      </w:r>
      <w:r>
        <w:rPr>
          <w:color w:val="000000"/>
        </w:rPr>
        <w:t>of common spaces</w:t>
      </w:r>
    </w:p>
    <w:p w14:paraId="0000001B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Resource extraction and the ruptured commons</w:t>
      </w:r>
    </w:p>
    <w:p w14:paraId="0000001C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Rupture as a mode of literary representation</w:t>
      </w:r>
    </w:p>
    <w:p w14:paraId="0000001D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Ruptures of community, culture, economy, family, language</w:t>
      </w:r>
    </w:p>
    <w:p w14:paraId="0000001E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Shared paths</w:t>
      </w:r>
    </w:p>
    <w:p w14:paraId="0000001F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Spaces and places in times of rupture: private and public, physical and virtua</w:t>
      </w:r>
      <w:r>
        <w:rPr>
          <w:color w:val="000000"/>
        </w:rPr>
        <w:t>l; urban, rural and wild</w:t>
      </w:r>
    </w:p>
    <w:p w14:paraId="00000020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Teaching and scholarship in a time of rupture and as means to disruption</w:t>
      </w:r>
    </w:p>
    <w:p w14:paraId="00000021" w14:textId="77777777" w:rsidR="00D13C0E" w:rsidRDefault="00677A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Technology and/as rupture</w:t>
      </w:r>
    </w:p>
    <w:p w14:paraId="00000022" w14:textId="77777777" w:rsidR="00D13C0E" w:rsidRDefault="00D1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3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Confirmed Keynote Speakers include:</w:t>
      </w:r>
    </w:p>
    <w:p w14:paraId="00000024" w14:textId="77777777" w:rsidR="00D13C0E" w:rsidRDefault="00D1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5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Kateri </w:t>
      </w:r>
      <w:proofErr w:type="spellStart"/>
      <w:r>
        <w:t>Akiwennze-Damm</w:t>
      </w:r>
      <w:proofErr w:type="spellEnd"/>
      <w:r>
        <w:t xml:space="preserve"> (University of Toronto)</w:t>
      </w:r>
    </w:p>
    <w:p w14:paraId="00000026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Lillian Allen (OCAD University)</w:t>
      </w:r>
    </w:p>
    <w:p w14:paraId="00000027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Cajetan </w:t>
      </w:r>
      <w:proofErr w:type="spellStart"/>
      <w:r>
        <w:t>Iheka</w:t>
      </w:r>
      <w:proofErr w:type="spellEnd"/>
      <w:r>
        <w:t xml:space="preserve"> (Yale University)</w:t>
      </w:r>
    </w:p>
    <w:p w14:paraId="00000028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Susie O’Brien (McMaster University)</w:t>
      </w:r>
    </w:p>
    <w:p w14:paraId="00000029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Ruth </w:t>
      </w:r>
      <w:proofErr w:type="spellStart"/>
      <w:r>
        <w:t>Vanita</w:t>
      </w:r>
      <w:proofErr w:type="spellEnd"/>
      <w:r>
        <w:t xml:space="preserve"> (University of Montana)</w:t>
      </w:r>
    </w:p>
    <w:p w14:paraId="0000002A" w14:textId="77777777" w:rsidR="00D13C0E" w:rsidRDefault="00D1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B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Proposals for papers and panels on these or other topics of relevance to our discipline are welcome. Abstracts should be </w:t>
      </w:r>
      <w:r>
        <w:t>no more than 350 words and are to be submitted online by Oct. 1, 2021 at the following site:</w:t>
      </w:r>
    </w:p>
    <w:p w14:paraId="0000002C" w14:textId="77777777" w:rsidR="00D13C0E" w:rsidRDefault="00D1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D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hyperlink r:id="rId8">
        <w:r>
          <w:rPr>
            <w:color w:val="1155CC"/>
            <w:u w:val="single"/>
          </w:rPr>
          <w:t>http://aclals.net/conferences-and-cfps/aclals-2022/</w:t>
        </w:r>
      </w:hyperlink>
    </w:p>
    <w:p w14:paraId="0000002E" w14:textId="77777777" w:rsidR="00D13C0E" w:rsidRDefault="00D13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2F" w14:textId="77777777" w:rsidR="00D13C0E" w:rsidRDefault="00677A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This site can also be used to submit panel proposals.</w:t>
      </w:r>
    </w:p>
    <w:sectPr w:rsidR="00D13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35B1" w14:textId="77777777" w:rsidR="00677A97" w:rsidRDefault="00677A97">
      <w:pPr>
        <w:spacing w:line="240" w:lineRule="auto"/>
        <w:ind w:left="0" w:hanging="2"/>
      </w:pPr>
      <w:r>
        <w:separator/>
      </w:r>
    </w:p>
  </w:endnote>
  <w:endnote w:type="continuationSeparator" w:id="0">
    <w:p w14:paraId="59F808D0" w14:textId="77777777" w:rsidR="00677A97" w:rsidRDefault="00677A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ED5B" w14:textId="77777777" w:rsidR="001B4033" w:rsidRDefault="001B403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2186" w14:textId="77777777" w:rsidR="001B4033" w:rsidRDefault="001B403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3917" w14:textId="77777777" w:rsidR="001B4033" w:rsidRDefault="001B403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86E1A" w14:textId="77777777" w:rsidR="00677A97" w:rsidRDefault="00677A97">
      <w:pPr>
        <w:spacing w:line="240" w:lineRule="auto"/>
        <w:ind w:left="0" w:hanging="2"/>
      </w:pPr>
      <w:r>
        <w:separator/>
      </w:r>
    </w:p>
  </w:footnote>
  <w:footnote w:type="continuationSeparator" w:id="0">
    <w:p w14:paraId="65C292B5" w14:textId="77777777" w:rsidR="00677A97" w:rsidRDefault="00677A9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A5F8" w14:textId="77777777" w:rsidR="001B4033" w:rsidRDefault="001B403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1F479020" w:rsidR="00D13C0E" w:rsidRPr="001B4033" w:rsidRDefault="001B4033">
    <w:pPr>
      <w:ind w:left="0" w:hanging="2"/>
      <w:rPr>
        <w:lang w:val="en-CA"/>
      </w:rPr>
    </w:pPr>
    <w:r>
      <w:rPr>
        <w:lang w:val="en-CA"/>
      </w:rPr>
      <w:t>ACLALS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603A" w14:textId="77777777" w:rsidR="001B4033" w:rsidRDefault="001B403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27F93"/>
    <w:multiLevelType w:val="multilevel"/>
    <w:tmpl w:val="0C742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0E"/>
    <w:rsid w:val="001B4033"/>
    <w:rsid w:val="00677A97"/>
    <w:rsid w:val="00707D30"/>
    <w:rsid w:val="00D1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9E372"/>
  <w15:docId w15:val="{5ACF8A0E-F4A7-8C4A-97A8-1D1CB23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</w:rPr>
  </w:style>
  <w:style w:type="paragraph" w:customStyle="1" w:styleId="Bodynoindent">
    <w:name w:val="Body no indent"/>
    <w:basedOn w:val="Normal"/>
    <w:pPr>
      <w:spacing w:line="360" w:lineRule="atLeast"/>
      <w:ind w:right="720"/>
    </w:pPr>
    <w:rPr>
      <w:rFonts w:ascii="Courier" w:hAnsi="Courier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40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33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1B40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3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als.net/conferences-and-cfps/aclals-20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b/iu64B5oqkVKgf1zlTi6cGMQ==">AMUW2mVZrL/imSbUzp3qGgt4y5otSYQ8Xe4T8FKLzWnTeKjivXr1XnAfgKzKjQLp1oP35hRU8qDgRQQmqBNiqRL27s0y4gCuGMIob9QX1rTusV2rXBWqY8k=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Ball</dc:creator>
  <cp:lastModifiedBy>Anna Guttman</cp:lastModifiedBy>
  <cp:revision>2</cp:revision>
  <dcterms:created xsi:type="dcterms:W3CDTF">2021-06-21T14:12:00Z</dcterms:created>
  <dcterms:modified xsi:type="dcterms:W3CDTF">2021-06-21T14:12:00Z</dcterms:modified>
</cp:coreProperties>
</file>